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colère - activités connexes</w:t>
      </w:r>
    </w:p>
    <w:p w:rsidR="00000000" w:rsidDel="00000000" w:rsidP="00000000" w:rsidRDefault="00000000" w:rsidRPr="00000000" w14:paraId="00000002">
      <w:pPr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Reconnaissance émotions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Utiliser des livres jeunesse aide les enfants à reconnaître leurs émotions et à avoir des trucs pour se calmer au besoin. Lors de la lecture du livre, questionner les enfants sur ce qui les met en colère.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La couleur des émotions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Sam et Watson: plus forts que la colère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Grosse colère - Myriam Lallancée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Jeux d’expression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Gestion de la colère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Fabriquer un monstre mangeur de colère: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https://www.bloghoptoys.fr/fabrique-monstre-mangeur-de-colere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238125</wp:posOffset>
            </wp:positionV>
            <wp:extent cx="5943600" cy="35814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961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Fabriquer une roue avec des stratégies pour se calmer (exemple avec droits d’auteurs, utiliser ces gabarits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ici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ici </w:t>
        </w:r>
      </w:hyperlink>
      <w:r w:rsidDel="00000000" w:rsidR="00000000" w:rsidRPr="00000000">
        <w:rPr>
          <w:rtl w:val="0"/>
        </w:rPr>
        <w:t xml:space="preserve">et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ici</w:t>
        </w:r>
      </w:hyperlink>
      <w:r w:rsidDel="00000000" w:rsidR="00000000" w:rsidRPr="00000000">
        <w:rPr>
          <w:rtl w:val="0"/>
        </w:rPr>
        <w:t xml:space="preserve">) pour l’activité)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5262563" cy="5414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4529" l="23061" r="43003" t="23361"/>
                    <a:stretch>
                      <a:fillRect/>
                    </a:stretch>
                  </pic:blipFill>
                  <pic:spPr>
                    <a:xfrm>
                      <a:off x="0" y="0"/>
                      <a:ext cx="5262563" cy="54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drive.google.com/drive/folders/1y3CR0-eoBUtwFhrmTSd63nKt2VV01jBc" TargetMode="External"/><Relationship Id="rId9" Type="http://schemas.openxmlformats.org/officeDocument/2006/relationships/hyperlink" Target="https://drive.google.com/drive/folders/1y3CR0-eoBUtwFhrmTSd63nKt2VV01jBc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loghoptoys.fr/fabrique-monstre-mangeur-de-colere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rive.google.com/drive/folders/1y3CR0-eoBUtwFhrmTSd63nKt2VV01j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